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6476CF4" w:rsidR="00393761" w:rsidRPr="00E012CD" w:rsidRDefault="00523D27" w:rsidP="00F049AB">
      <w:pPr>
        <w:pStyle w:val="Tytuinfomacjisygnalnej"/>
      </w:pPr>
      <w:r>
        <w:rPr>
          <w:szCs w:val="40"/>
        </w:rPr>
        <w:t>Sklepy i placówki gastronomiczne na Podkarpaciu</w:t>
      </w:r>
      <w:r w:rsidR="00364AF9" w:rsidRPr="00E012CD">
        <w:rPr>
          <w:sz w:val="32"/>
        </w:rPr>
        <w:tab/>
      </w:r>
    </w:p>
    <w:p w14:paraId="57145E49" w14:textId="609AE515" w:rsidR="00C631F2" w:rsidRDefault="000B6D2E" w:rsidP="00405682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B9CF75B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na Podkarpaciu funkcjonowały 164 targowiska stał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DE4B8B" w:rsidRDefault="00DE4B8B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DE4B8B" w:rsidRDefault="00DE4B8B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DE4B8B" w:rsidRDefault="00DE4B8B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DE4B8B" w:rsidRDefault="00DE4B8B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2E790AFD" w:rsidR="00DE4B8B" w:rsidRPr="00E012CD" w:rsidRDefault="00DE4B8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 r. na Podkarpaci</w:t>
                            </w:r>
                            <w:r w:rsidR="008D43F3">
                              <w:rPr>
                                <w:sz w:val="19"/>
                                <w:szCs w:val="19"/>
                              </w:rPr>
                              <w:t>u funkcjonowały 164 targowiska stałe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funkcjonowały 164 targowiska stałe.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DE4B8B" w:rsidRDefault="00DE4B8B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DE4B8B" w:rsidRDefault="00DE4B8B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DE4B8B" w:rsidRDefault="00DE4B8B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DE4B8B" w:rsidRDefault="00DE4B8B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2E790AFD" w:rsidR="00DE4B8B" w:rsidRPr="00E012CD" w:rsidRDefault="00DE4B8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 r. na Podkarpaci</w:t>
                      </w:r>
                      <w:r w:rsidR="008D43F3">
                        <w:rPr>
                          <w:sz w:val="19"/>
                          <w:szCs w:val="19"/>
                        </w:rPr>
                        <w:t>u funkcjonowały 164 targowiska stałe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województwie</w:t>
      </w:r>
      <w:r w:rsidR="00965C51">
        <w:rPr>
          <w:b w:val="0"/>
        </w:rPr>
        <w:t xml:space="preserve"> </w:t>
      </w:r>
      <w:r w:rsidR="00405682">
        <w:rPr>
          <w:b w:val="0"/>
        </w:rPr>
        <w:t>podkarpackim w 2024</w:t>
      </w:r>
      <w:r w:rsidR="00B25FF9">
        <w:rPr>
          <w:b w:val="0"/>
        </w:rPr>
        <w:t xml:space="preserve"> r., w porównaniu z</w:t>
      </w:r>
      <w:r w:rsidR="00405682">
        <w:rPr>
          <w:b w:val="0"/>
        </w:rPr>
        <w:t xml:space="preserve"> poprzednim</w:t>
      </w:r>
      <w:r w:rsidR="00B25FF9">
        <w:rPr>
          <w:b w:val="0"/>
        </w:rPr>
        <w:t xml:space="preserve"> rokiem</w:t>
      </w:r>
      <w:r w:rsidR="00405682">
        <w:rPr>
          <w:b w:val="0"/>
        </w:rPr>
        <w:t>, wzrosła liczba sklepów i placówek gastronomicznych. Nie osiągnęła jednak jeszcze poziomu sprzed pandemii COVID-19.</w:t>
      </w:r>
    </w:p>
    <w:p w14:paraId="4D2B9240" w14:textId="3AEE4435" w:rsidR="00523D27" w:rsidRPr="00523D27" w:rsidRDefault="00523D27" w:rsidP="00405682">
      <w:pPr>
        <w:pStyle w:val="LID"/>
        <w:spacing w:before="80"/>
      </w:pPr>
      <w:r w:rsidRPr="00523D27">
        <w:t>Sklepy</w:t>
      </w:r>
    </w:p>
    <w:p w14:paraId="289093A9" w14:textId="6A96C1A4" w:rsidR="00405682" w:rsidRDefault="00405682" w:rsidP="00405682">
      <w:pPr>
        <w:pStyle w:val="LID"/>
        <w:spacing w:before="80"/>
        <w:rPr>
          <w:b w:val="0"/>
        </w:rPr>
      </w:pPr>
      <w:r>
        <w:rPr>
          <w:b w:val="0"/>
        </w:rPr>
        <w:t>W 2024 r. na Podkarpaciu funkcjonowało 14,6 tys. sklepów</w:t>
      </w:r>
      <w:r w:rsidR="00ED373A">
        <w:rPr>
          <w:b w:val="0"/>
        </w:rPr>
        <w:t>,</w:t>
      </w:r>
      <w:r>
        <w:rPr>
          <w:b w:val="0"/>
        </w:rPr>
        <w:t xml:space="preserve"> w tym m.in. 21 hipermarketów i</w:t>
      </w:r>
      <w:r w:rsidR="008D43F3">
        <w:rPr>
          <w:b w:val="0"/>
        </w:rPr>
        <w:t> </w:t>
      </w:r>
      <w:r>
        <w:rPr>
          <w:b w:val="0"/>
        </w:rPr>
        <w:t>453</w:t>
      </w:r>
      <w:r w:rsidR="008D43F3">
        <w:rPr>
          <w:b w:val="0"/>
        </w:rPr>
        <w:t> </w:t>
      </w:r>
      <w:r>
        <w:rPr>
          <w:b w:val="0"/>
        </w:rPr>
        <w:t>supermarkety. Łącznie na jeden sklep przypadało 141 mieszkańców. Więcej osób na jeden sklep było tylko w województwie opolskim – 168 osób, najmniej w łódzkim – 106.</w:t>
      </w:r>
    </w:p>
    <w:p w14:paraId="78A5C44D" w14:textId="5B3DFCE3" w:rsidR="00405682" w:rsidRDefault="00405682" w:rsidP="00405682">
      <w:pPr>
        <w:pStyle w:val="LID"/>
        <w:spacing w:before="80"/>
        <w:rPr>
          <w:b w:val="0"/>
        </w:rPr>
      </w:pPr>
      <w:r>
        <w:rPr>
          <w:b w:val="0"/>
        </w:rPr>
        <w:t>Liczba sklepów w 2024 r.</w:t>
      </w:r>
      <w:r w:rsidR="00ED373A">
        <w:rPr>
          <w:b w:val="0"/>
        </w:rPr>
        <w:t>,</w:t>
      </w:r>
      <w:r>
        <w:rPr>
          <w:b w:val="0"/>
        </w:rPr>
        <w:t xml:space="preserve"> w porównaniu z 2023 r.</w:t>
      </w:r>
      <w:r w:rsidR="00ED373A">
        <w:rPr>
          <w:b w:val="0"/>
        </w:rPr>
        <w:t>,</w:t>
      </w:r>
      <w:r>
        <w:rPr>
          <w:b w:val="0"/>
        </w:rPr>
        <w:t xml:space="preserve"> wzrosła o 235 placówek, w tym o</w:t>
      </w:r>
      <w:r w:rsidR="008D43F3">
        <w:rPr>
          <w:b w:val="0"/>
        </w:rPr>
        <w:t> </w:t>
      </w:r>
      <w:r>
        <w:rPr>
          <w:b w:val="0"/>
        </w:rPr>
        <w:t>33</w:t>
      </w:r>
      <w:r w:rsidR="008D43F3">
        <w:rPr>
          <w:b w:val="0"/>
        </w:rPr>
        <w:t> </w:t>
      </w:r>
      <w:r w:rsidR="006744D3">
        <w:rPr>
          <w:b w:val="0"/>
        </w:rPr>
        <w:t>su</w:t>
      </w:r>
      <w:r>
        <w:rPr>
          <w:b w:val="0"/>
        </w:rPr>
        <w:t>permarkety</w:t>
      </w:r>
      <w:r w:rsidR="00DE4B8B">
        <w:rPr>
          <w:b w:val="0"/>
        </w:rPr>
        <w:t>. W porównaniu z 2019 r.</w:t>
      </w:r>
      <w:r w:rsidR="00B25FF9">
        <w:rPr>
          <w:b w:val="0"/>
        </w:rPr>
        <w:t>,</w:t>
      </w:r>
      <w:r w:rsidR="00DE4B8B">
        <w:rPr>
          <w:b w:val="0"/>
        </w:rPr>
        <w:t xml:space="preserve"> ogólna liczba sklepów</w:t>
      </w:r>
      <w:r w:rsidR="008D43F3">
        <w:rPr>
          <w:b w:val="0"/>
        </w:rPr>
        <w:t xml:space="preserve"> w 2024 r.</w:t>
      </w:r>
      <w:r w:rsidR="00DE4B8B">
        <w:rPr>
          <w:b w:val="0"/>
        </w:rPr>
        <w:t xml:space="preserve"> był</w:t>
      </w:r>
      <w:r w:rsidR="008D43F3">
        <w:rPr>
          <w:b w:val="0"/>
        </w:rPr>
        <w:t>a</w:t>
      </w:r>
      <w:r w:rsidR="00DE4B8B">
        <w:rPr>
          <w:b w:val="0"/>
        </w:rPr>
        <w:t xml:space="preserve"> niższa o</w:t>
      </w:r>
      <w:r w:rsidR="00E046B8">
        <w:rPr>
          <w:b w:val="0"/>
        </w:rPr>
        <w:t> </w:t>
      </w:r>
      <w:r w:rsidR="00DE4B8B">
        <w:rPr>
          <w:b w:val="0"/>
        </w:rPr>
        <w:t>1,3</w:t>
      </w:r>
      <w:r w:rsidR="00E046B8">
        <w:rPr>
          <w:b w:val="0"/>
        </w:rPr>
        <w:t> </w:t>
      </w:r>
      <w:r w:rsidR="00DE4B8B">
        <w:rPr>
          <w:b w:val="0"/>
        </w:rPr>
        <w:t>tys.</w:t>
      </w:r>
    </w:p>
    <w:p w14:paraId="7E924A8F" w14:textId="578EF22D" w:rsidR="00DE4B8B" w:rsidRPr="00523D27" w:rsidRDefault="00DE4B8B" w:rsidP="00405682">
      <w:pPr>
        <w:pStyle w:val="LID"/>
        <w:spacing w:before="80"/>
      </w:pPr>
      <w:r w:rsidRPr="00523D27">
        <w:t>Placówki gastronomiczne</w:t>
      </w:r>
    </w:p>
    <w:p w14:paraId="21ED9D03" w14:textId="415C53FA" w:rsidR="00DE4B8B" w:rsidRDefault="00DE4B8B" w:rsidP="00405682">
      <w:pPr>
        <w:pStyle w:val="LID"/>
        <w:spacing w:before="80"/>
        <w:rPr>
          <w:b w:val="0"/>
        </w:rPr>
      </w:pPr>
      <w:r>
        <w:rPr>
          <w:b w:val="0"/>
        </w:rPr>
        <w:t>W województwie podkarpackim w 2024 r. działało 216 restauracji, 205 barów i 1</w:t>
      </w:r>
      <w:r w:rsidR="00924797">
        <w:rPr>
          <w:b w:val="0"/>
        </w:rPr>
        <w:t>66 punktów gastronomicznych. Przyniosły</w:t>
      </w:r>
      <w:r>
        <w:rPr>
          <w:b w:val="0"/>
        </w:rPr>
        <w:t xml:space="preserve"> one łącznie przychody na kwotę 1,3 mld zł, w tym m.in. z</w:t>
      </w:r>
      <w:r w:rsidR="008D43F3">
        <w:rPr>
          <w:b w:val="0"/>
        </w:rPr>
        <w:t> </w:t>
      </w:r>
      <w:r w:rsidR="00BE67F8">
        <w:rPr>
          <w:b w:val="0"/>
        </w:rPr>
        <w:t>produkcji gastronomicznej 1,1 mld</w:t>
      </w:r>
      <w:r>
        <w:rPr>
          <w:b w:val="0"/>
        </w:rPr>
        <w:t xml:space="preserve"> zł, a ze sprzedaży napojów alkoholowych i wyrobów tytoniowych 81,9 mln zł.</w:t>
      </w:r>
    </w:p>
    <w:p w14:paraId="6220C8ED" w14:textId="0E0E87B3" w:rsidR="00DE4B8B" w:rsidRPr="009437BC" w:rsidRDefault="00DE4B8B" w:rsidP="00405682">
      <w:pPr>
        <w:pStyle w:val="LID"/>
        <w:spacing w:before="80"/>
        <w:rPr>
          <w:b w:val="0"/>
        </w:rPr>
      </w:pPr>
      <w:r>
        <w:rPr>
          <w:b w:val="0"/>
        </w:rPr>
        <w:t xml:space="preserve">W 2024 r. w porównaniu z 2023 r., na Podkarpaciu </w:t>
      </w:r>
      <w:r w:rsidR="00523D27">
        <w:rPr>
          <w:b w:val="0"/>
        </w:rPr>
        <w:t>przybyły 3 restauracje, 23 bary i 8 punktów gastronomicznych. W p</w:t>
      </w:r>
      <w:r w:rsidR="00924797">
        <w:rPr>
          <w:b w:val="0"/>
        </w:rPr>
        <w:t>o</w:t>
      </w:r>
      <w:r w:rsidR="00523D27">
        <w:rPr>
          <w:b w:val="0"/>
        </w:rPr>
        <w:t>równaniu z</w:t>
      </w:r>
      <w:r w:rsidR="00ED373A">
        <w:rPr>
          <w:b w:val="0"/>
        </w:rPr>
        <w:t xml:space="preserve"> 2019 r. ubyły</w:t>
      </w:r>
      <w:r w:rsidR="00B25FF9">
        <w:rPr>
          <w:b w:val="0"/>
        </w:rPr>
        <w:t>: 33 restauracje, 24 bary i 33 punkty gastronomiczne.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3FB7BB7E" w:rsidR="00AD661D" w:rsidRPr="00E012CD" w:rsidRDefault="00630A7A" w:rsidP="00630A7A">
      <w:pPr>
        <w:pStyle w:val="Tytutablicy"/>
      </w:pPr>
      <w:r w:rsidRPr="00630A7A">
        <w:t>Wykres</w:t>
      </w:r>
      <w:r w:rsidRPr="00E012CD">
        <w:t xml:space="preserve"> 1.</w:t>
      </w:r>
      <w:r w:rsidR="008D43F3">
        <w:t xml:space="preserve"> Liczba sklepów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C8BE9E2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6A09988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A2EB831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D5D1C12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80ACA71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E012CD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541FB4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0D320CB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7C636BF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5DA24D0" w14:textId="50262EEB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DE4B8B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11FFEF0" w14:textId="77777777" w:rsidR="00DE2400" w:rsidRDefault="00E012CD" w:rsidP="00BD0873">
            <w:pPr>
              <w:rPr>
                <w:rStyle w:val="Hipercze"/>
              </w:rPr>
            </w:pPr>
            <w:hyperlink r:id="rId20" w:history="1">
              <w:r w:rsidR="006D5C21" w:rsidRPr="006D5C21">
                <w:rPr>
                  <w:rStyle w:val="Hipercze"/>
                </w:rPr>
                <w:t>Sklep</w:t>
              </w:r>
            </w:hyperlink>
          </w:p>
          <w:p w14:paraId="59EB7117" w14:textId="03A8A600" w:rsidR="006D5C21" w:rsidRPr="00876479" w:rsidRDefault="00E012CD" w:rsidP="00BD0873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1" w:history="1">
              <w:r w:rsidR="006D5C21" w:rsidRPr="006D5C21">
                <w:rPr>
                  <w:rStyle w:val="Hipercze"/>
                </w:rPr>
                <w:t>Placówka gastronomiczna</w:t>
              </w:r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265EFFFF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40F5" w14:textId="77777777" w:rsidR="00DE4B8B" w:rsidRDefault="00DE4B8B" w:rsidP="000662E2">
      <w:pPr>
        <w:spacing w:after="0" w:line="240" w:lineRule="auto"/>
      </w:pPr>
      <w:r>
        <w:separator/>
      </w:r>
    </w:p>
  </w:endnote>
  <w:endnote w:type="continuationSeparator" w:id="0">
    <w:p w14:paraId="6BB07ED8" w14:textId="77777777" w:rsidR="00DE4B8B" w:rsidRDefault="00DE4B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66BD0A8-A060-4735-90A8-852E50CD06EE}"/>
    <w:embedBold r:id="rId2" w:fontKey="{7008B140-0B3C-41B1-943E-004668F4FFD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E19610A-3460-4269-8F9B-CD2BFB03B4B8}"/>
    <w:embedBold r:id="rId4" w:fontKey="{CBFAED43-1584-441F-B382-D6A0920F91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034693D-8D59-47F3-8008-4723739A7A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7A5BA61-5106-4E2B-B818-DD1618B813AB}"/>
    <w:embedItalic r:id="rId7" w:fontKey="{C791ABBB-111C-4EEC-95A0-8CA23EAFAE0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9D0E2AA-0C79-44CC-A191-A77CE7F128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24265CF-3551-4236-B8A6-D917922C37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880D63B-F0CB-48AC-95C0-13474B3C4D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DE4B8B" w:rsidRDefault="00DE4B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3F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DE4B8B" w:rsidRDefault="00DE4B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DE4B8B" w:rsidRDefault="00DE4B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CE922" w14:textId="77777777" w:rsidR="00DE4B8B" w:rsidRDefault="00DE4B8B" w:rsidP="000662E2">
      <w:pPr>
        <w:spacing w:after="0" w:line="240" w:lineRule="auto"/>
      </w:pPr>
      <w:r>
        <w:separator/>
      </w:r>
    </w:p>
  </w:footnote>
  <w:footnote w:type="continuationSeparator" w:id="0">
    <w:p w14:paraId="111AA723" w14:textId="77777777" w:rsidR="00DE4B8B" w:rsidRDefault="00DE4B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DE4B8B" w:rsidRDefault="00DE4B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DE4B8B" w:rsidRDefault="00DE4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DE4B8B" w:rsidRDefault="00DE4B8B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DE4B8B" w:rsidRPr="003C6C8D" w:rsidRDefault="00DE4B8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DE4B8B" w:rsidRPr="003C6C8D" w:rsidRDefault="00DE4B8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DE4B8B" w:rsidRDefault="00DE4B8B">
    <w:pPr>
      <w:pStyle w:val="Nagwek"/>
      <w:rPr>
        <w:noProof/>
        <w:lang w:eastAsia="pl-PL"/>
      </w:rPr>
    </w:pPr>
  </w:p>
  <w:p w14:paraId="45C1A999" w14:textId="77777777" w:rsidR="00DE4B8B" w:rsidRDefault="00DE4B8B">
    <w:pPr>
      <w:pStyle w:val="Nagwek"/>
      <w:rPr>
        <w:noProof/>
        <w:lang w:eastAsia="pl-PL"/>
      </w:rPr>
    </w:pPr>
  </w:p>
  <w:p w14:paraId="3194277A" w14:textId="5E6F66AE" w:rsidR="00DE4B8B" w:rsidRDefault="00DE4B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8A94C4F" w:rsidR="00DE4B8B" w:rsidRPr="00A01B40" w:rsidRDefault="00924797" w:rsidP="00F049AB">
                          <w:pPr>
                            <w:pStyle w:val="Datainformacjisygnalnej"/>
                          </w:pPr>
                          <w:r>
                            <w:t>04.12</w:t>
                          </w:r>
                          <w:r w:rsidR="00DE4B8B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8A94C4F" w:rsidR="00DE4B8B" w:rsidRPr="00A01B40" w:rsidRDefault="00924797" w:rsidP="00F049AB">
                    <w:pPr>
                      <w:pStyle w:val="Datainformacjisygnalnej"/>
                    </w:pPr>
                    <w:r>
                      <w:t>04.12</w:t>
                    </w:r>
                    <w:r w:rsidR="00DE4B8B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DE4B8B" w:rsidRDefault="00DE4B8B">
    <w:pPr>
      <w:pStyle w:val="Nagwek"/>
    </w:pPr>
  </w:p>
  <w:p w14:paraId="0738E4E9" w14:textId="77777777" w:rsidR="00DE4B8B" w:rsidRDefault="00DE4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20165">
    <w:abstractNumId w:val="5"/>
  </w:num>
  <w:num w:numId="2" w16cid:durableId="1218008796">
    <w:abstractNumId w:val="1"/>
  </w:num>
  <w:num w:numId="3" w16cid:durableId="642466285">
    <w:abstractNumId w:val="2"/>
  </w:num>
  <w:num w:numId="4" w16cid:durableId="131649756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112734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4326092">
    <w:abstractNumId w:val="0"/>
  </w:num>
  <w:num w:numId="7" w16cid:durableId="921572924">
    <w:abstractNumId w:val="7"/>
  </w:num>
  <w:num w:numId="8" w16cid:durableId="202838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A57A5"/>
    <w:rsid w:val="000B0727"/>
    <w:rsid w:val="000B5402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5682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23D27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4D3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5C21"/>
    <w:rsid w:val="006E02EC"/>
    <w:rsid w:val="006E3C4F"/>
    <w:rsid w:val="006E6F41"/>
    <w:rsid w:val="006E73E6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43F3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24797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25FF9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D686D"/>
    <w:rsid w:val="00BE386F"/>
    <w:rsid w:val="00BE67F8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0AEF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4B8B"/>
    <w:rsid w:val="00DE58F1"/>
    <w:rsid w:val="00DE6B58"/>
    <w:rsid w:val="00DF5E32"/>
    <w:rsid w:val="00E012CD"/>
    <w:rsid w:val="00E01436"/>
    <w:rsid w:val="00E03E79"/>
    <w:rsid w:val="00E045BD"/>
    <w:rsid w:val="00E046B8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373A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0FC0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00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4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15954</c:v>
                </c:pt>
                <c:pt idx="1">
                  <c:v>14040</c:v>
                </c:pt>
                <c:pt idx="2">
                  <c:v>13687</c:v>
                </c:pt>
                <c:pt idx="3">
                  <c:v>13858</c:v>
                </c:pt>
                <c:pt idx="4">
                  <c:v>14405</c:v>
                </c:pt>
                <c:pt idx="5">
                  <c:v>14640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25-40B5-B90B-3B9E1A4424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356461824"/>
        <c:axId val="-356460736"/>
      </c:barChart>
      <c:catAx>
        <c:axId val="-356461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56460736"/>
        <c:crosses val="autoZero"/>
        <c:auto val="1"/>
        <c:lblAlgn val="ctr"/>
        <c:lblOffset val="100"/>
        <c:noMultiLvlLbl val="0"/>
      </c:catAx>
      <c:valAx>
        <c:axId val="-356460736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56461824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A1299-6995-4A9A-AAFE-D2CE7665CF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b5698c14-9734-4c2e-b0a6-c0f0e0420a38"/>
    <ds:schemaRef ds:uri="http://purl.org/dc/dcmitype/"/>
    <ds:schemaRef ds:uri="30d47203-49ec-4c8c-a442-62231931aabb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14</cp:revision>
  <cp:lastPrinted>2025-10-28T08:00:00Z</cp:lastPrinted>
  <dcterms:created xsi:type="dcterms:W3CDTF">2025-10-28T07:11:00Z</dcterms:created>
  <dcterms:modified xsi:type="dcterms:W3CDTF">2026-06-12T07:14:00Z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